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napToGrid w:val="0"/>
        <w:spacing w:line="560" w:lineRule="exact"/>
        <w:ind w:right="640" w:firstLine="960" w:firstLineChars="30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附件1：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兴国县202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硕士研究生及以上学历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教师招聘计划及岗位</w:t>
      </w:r>
    </w:p>
    <w:tbl>
      <w:tblPr>
        <w:tblStyle w:val="4"/>
        <w:tblW w:w="14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"/>
        <w:gridCol w:w="953"/>
        <w:gridCol w:w="696"/>
        <w:gridCol w:w="6864"/>
        <w:gridCol w:w="1712"/>
        <w:gridCol w:w="923"/>
        <w:gridCol w:w="965"/>
        <w:gridCol w:w="666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招聘岗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位名称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10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岗     位    资</w:t>
            </w: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格</w:t>
            </w: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条</w:t>
            </w: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件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咨询电话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ind w:firstLine="442" w:firstLineChars="20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color w:val="auto"/>
                <w:kern w:val="0"/>
                <w:sz w:val="22"/>
                <w:szCs w:val="22"/>
                <w:lang w:val="en-US" w:eastAsia="zh-CN"/>
              </w:rPr>
              <w:t>教师资格证书及</w:t>
            </w:r>
            <w:r>
              <w:rPr>
                <w:rFonts w:ascii="仿宋_GB2312" w:hAnsi="仿宋_GB2312"/>
                <w:b/>
                <w:color w:val="auto"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高中语文</w:t>
            </w:r>
            <w:r>
              <w:rPr>
                <w:rFonts w:hint="eastAsia" w:ascii="仿宋_GB2312" w:hAnsi="仿宋_GB2312"/>
                <w:color w:val="auto"/>
                <w:kern w:val="0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17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.教师资格证学科为语文或所学专业代码为0501 中国语言文学</w:t>
            </w:r>
            <w:r>
              <w:rPr>
                <w:rFonts w:hint="eastAsia" w:ascii="仿宋_GB2312" w:hAnsi="仿宋_GB2312"/>
                <w:color w:val="auto"/>
                <w:kern w:val="0"/>
                <w:lang w:eastAsia="zh-CN"/>
              </w:rPr>
              <w:t>、</w:t>
            </w:r>
            <w:r>
              <w:rPr>
                <w:rFonts w:ascii="仿宋_GB2312" w:hAnsi="仿宋_GB2312"/>
                <w:color w:val="auto"/>
                <w:kern w:val="0"/>
              </w:rPr>
              <w:t>045103学科教学（语文）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限应届生报考</w:t>
            </w:r>
          </w:p>
        </w:tc>
        <w:tc>
          <w:tcPr>
            <w:tcW w:w="6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0797-5203023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按高分到低分择岗，择岗后服务不少于5年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高中数学教师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数学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ascii="仿宋_GB2312" w:hAnsi="仿宋_GB2312"/>
                <w:color w:val="auto"/>
                <w:kern w:val="0"/>
              </w:rPr>
              <w:t>0701数学、045104学科教学（数学）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高中英语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英语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050201英语语言文学、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055101英语笔译、055102英语口译、</w:t>
            </w:r>
            <w:r>
              <w:rPr>
                <w:rFonts w:hint="eastAsia" w:ascii="仿宋_GB2312" w:hAnsi="仿宋_GB2312"/>
                <w:color w:val="auto"/>
                <w:kern w:val="0"/>
              </w:rPr>
              <w:t xml:space="preserve">045108学科教学（英语）   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限应届生报考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日</w:t>
            </w:r>
            <w:r>
              <w:rPr>
                <w:rFonts w:ascii="仿宋_GB2312" w:hAnsi="仿宋_GB2312"/>
                <w:color w:val="auto"/>
                <w:kern w:val="0"/>
              </w:rPr>
              <w:t>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日语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为050205日语语言文学、055105日语笔译、055106日语口译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高中政治教师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政治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0302政治学、0305马克思主义理论</w:t>
            </w:r>
            <w:r>
              <w:rPr>
                <w:rFonts w:hint="eastAsia" w:ascii="仿宋_GB2312" w:hAnsi="仿宋_GB2312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/>
                <w:color w:val="auto"/>
                <w:kern w:val="0"/>
              </w:rPr>
              <w:t>045102学科教学（思政）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限应届生报考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高中历史</w:t>
            </w:r>
            <w:r>
              <w:rPr>
                <w:rFonts w:hint="eastAsia" w:ascii="仿宋_GB2312" w:hAnsi="仿宋_GB2312"/>
                <w:color w:val="auto"/>
                <w:kern w:val="0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历史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06历史学、045109学科教学（历史）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7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高中地理教师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地理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0705地理学、045110学科教学（地理）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高中物理教师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16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物理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0702物理学、045105学科教学（物理）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9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高中生物教师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9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生物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0710生物学、045107学科教学（生物）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高中化学教师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化学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0703化学、045106学科教学（化学）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限应届生报考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高中信息技术教师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信息技术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0812计算机科学与技术</w:t>
            </w:r>
            <w:r>
              <w:rPr>
                <w:rFonts w:hint="eastAsia" w:ascii="仿宋_GB2312" w:hAnsi="仿宋_GB2312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/>
                <w:color w:val="auto"/>
                <w:kern w:val="0"/>
              </w:rPr>
              <w:t>040110教育技术学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限应届生报考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高中音乐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1.具备高中及以上层次教师资格；2.教师资格证学科为音乐或所学专业代码为130201 音乐学、045111学科教学（音乐）</w:t>
            </w:r>
          </w:p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35周岁及以下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高中体育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1.具备高中及以上层次教师资格；2.教师资格证学科为体育或所学专业代码为0403 体育学 、045112学科教学（体育 ）</w:t>
            </w:r>
          </w:p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硕士研究生及以上学历学位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35周岁及以下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14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高中美术教师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美术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为13041美术学、</w:t>
            </w:r>
            <w:r>
              <w:rPr>
                <w:rFonts w:hint="eastAsia" w:ascii="仿宋_GB2312" w:hAnsi="仿宋_GB2312"/>
                <w:color w:val="auto"/>
                <w:kern w:val="0"/>
              </w:rPr>
              <w:t xml:space="preserve">135107 美术 </w:t>
            </w:r>
            <w:r>
              <w:rPr>
                <w:rFonts w:hint="eastAsia" w:ascii="仿宋_GB2312" w:hAnsi="仿宋_GB2312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045113学科教学（美术）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限应届生报考</w:t>
            </w:r>
          </w:p>
        </w:tc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高中心理健康教师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</w:rPr>
              <w:t>1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hint="eastAsia" w:ascii="仿宋_GB2312" w:hAnsi="仿宋_GB2312"/>
                <w:color w:val="auto"/>
                <w:kern w:val="0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color w:val="auto"/>
                <w:kern w:val="0"/>
              </w:rPr>
              <w:t>.具备高中及以上层次教师资格；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color w:val="auto"/>
                <w:kern w:val="0"/>
              </w:rPr>
              <w:t>.教师资格证学科为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心理健康</w:t>
            </w:r>
            <w:r>
              <w:rPr>
                <w:rFonts w:hint="eastAsia" w:ascii="仿宋_GB2312" w:hAnsi="仿宋_GB2312"/>
                <w:color w:val="auto"/>
                <w:kern w:val="0"/>
              </w:rPr>
              <w:t>或所学专业代码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为</w:t>
            </w:r>
            <w:r>
              <w:rPr>
                <w:rFonts w:hint="eastAsia" w:ascii="仿宋_GB2312" w:hAnsi="仿宋_GB2312"/>
                <w:color w:val="auto"/>
                <w:kern w:val="0"/>
              </w:rPr>
              <w:t>0402心理学、045116心理健康教育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35周岁及以下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合计：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85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  <w:bookmarkStart w:id="0" w:name="_GoBack"/>
            <w:bookmarkEnd w:id="0"/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仿宋_GB2312" w:hAnsi="仿宋_GB2312"/>
                <w:color w:val="auto"/>
                <w:kern w:val="0"/>
              </w:rPr>
            </w:pPr>
          </w:p>
        </w:tc>
      </w:tr>
    </w:tbl>
    <w:p>
      <w:pPr>
        <w:widowControl/>
        <w:autoSpaceDE w:val="0"/>
        <w:spacing w:line="240" w:lineRule="exact"/>
        <w:jc w:val="both"/>
        <w:textAlignment w:val="center"/>
        <w:rPr>
          <w:rFonts w:hint="eastAsia" w:ascii="仿宋_GB2312" w:hAnsi="仿宋_GB2312"/>
          <w:color w:val="auto"/>
          <w:kern w:val="0"/>
        </w:rPr>
      </w:pPr>
    </w:p>
    <w:sectPr>
      <w:pgSz w:w="16838" w:h="11906" w:orient="landscape"/>
      <w:pgMar w:top="539" w:right="476" w:bottom="527" w:left="4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2Y2ZDk2NWI2ZWY2YzMzNWZmNzVlNTFlMzU0N2YifQ=="/>
  </w:docVars>
  <w:rsids>
    <w:rsidRoot w:val="009607E0"/>
    <w:rsid w:val="00327B83"/>
    <w:rsid w:val="009607E0"/>
    <w:rsid w:val="012B5F35"/>
    <w:rsid w:val="03B90276"/>
    <w:rsid w:val="09965BDA"/>
    <w:rsid w:val="1EA545C1"/>
    <w:rsid w:val="1FFF0D4B"/>
    <w:rsid w:val="23C36C9C"/>
    <w:rsid w:val="25AF0663"/>
    <w:rsid w:val="39F835F5"/>
    <w:rsid w:val="4B7E0E2E"/>
    <w:rsid w:val="58545C67"/>
    <w:rsid w:val="59DB507E"/>
    <w:rsid w:val="5F771D2F"/>
    <w:rsid w:val="77980055"/>
    <w:rsid w:val="7A9E7661"/>
    <w:rsid w:val="7C4B19E9"/>
    <w:rsid w:val="7CF31698"/>
    <w:rsid w:val="7FF7EB36"/>
    <w:rsid w:val="BFCE1BED"/>
    <w:rsid w:val="F7AB572C"/>
    <w:rsid w:val="F91EC743"/>
    <w:rsid w:val="F9BFBE17"/>
    <w:rsid w:val="FEDBD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正文缩进1"/>
    <w:basedOn w:val="1"/>
    <w:qFormat/>
    <w:uiPriority w:val="0"/>
    <w:pPr>
      <w:ind w:firstLine="420" w:firstLineChars="200"/>
    </w:pPr>
  </w:style>
  <w:style w:type="character" w:customStyle="1" w:styleId="7">
    <w:name w:val="正文文本 Char"/>
    <w:basedOn w:val="5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1285</Words>
  <Characters>1503</Characters>
  <Lines>5</Lines>
  <Paragraphs>1</Paragraphs>
  <TotalTime>4</TotalTime>
  <ScaleCrop>false</ScaleCrop>
  <LinksUpToDate>false</LinksUpToDate>
  <CharactersWithSpaces>1540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2022-05-07T01:01:00Z</dcterms:created>
  <dc:creator>xb21cn</dc:creator>
  <cp:lastModifiedBy>心香一瓣</cp:lastModifiedBy>
  <cp:lastPrinted>2023-03-09T02:56:00Z</cp:lastPrinted>
  <dcterms:modified xsi:type="dcterms:W3CDTF">2023-03-09T02:59:28Z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8AFA9E6011F045359B89C32E3C71ECE2</vt:lpwstr>
  </property>
</Properties>
</file>